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2E7BD" w14:textId="77777777" w:rsidR="00A1065C" w:rsidRPr="00D465D4" w:rsidRDefault="00A1065C" w:rsidP="00A1065C">
      <w:pPr>
        <w:pStyle w:val="Heading3"/>
      </w:pPr>
      <w:bookmarkStart w:id="0" w:name="_Toc79482494"/>
      <w:r w:rsidRPr="00D465D4">
        <w:t>Variables</w:t>
      </w:r>
      <w:bookmarkEnd w:id="0"/>
    </w:p>
    <w:p w14:paraId="0F91036C" w14:textId="77777777" w:rsidR="00A1065C" w:rsidRPr="00D465D4" w:rsidRDefault="00A1065C" w:rsidP="00A1065C">
      <w:pPr>
        <w:rPr>
          <w:bCs/>
          <w:sz w:val="24"/>
          <w:szCs w:val="24"/>
        </w:rPr>
      </w:pPr>
    </w:p>
    <w:p w14:paraId="493CFDD5" w14:textId="77777777" w:rsidR="00A1065C" w:rsidRPr="00D465D4" w:rsidRDefault="00A1065C" w:rsidP="00A1065C">
      <w:pPr>
        <w:rPr>
          <w:rFonts w:cstheme="minorHAnsi"/>
          <w:szCs w:val="28"/>
        </w:rPr>
      </w:pPr>
      <w:r w:rsidRPr="00D465D4">
        <w:rPr>
          <w:rFonts w:cstheme="minorHAnsi"/>
          <w:szCs w:val="28"/>
        </w:rPr>
        <w:t>Score Sheet - Worth 4 Points, scored by HSTA Teacher, Approved by CRA</w:t>
      </w:r>
    </w:p>
    <w:p w14:paraId="43E2A5AD" w14:textId="77777777" w:rsidR="00A1065C" w:rsidRPr="00D465D4" w:rsidRDefault="00A1065C" w:rsidP="00A1065C">
      <w:pPr>
        <w:pStyle w:val="ListParagraph"/>
        <w:numPr>
          <w:ilvl w:val="0"/>
          <w:numId w:val="1"/>
        </w:numPr>
        <w:rPr>
          <w:rFonts w:eastAsia="Times New Roman" w:cstheme="minorHAnsi"/>
          <w:i/>
          <w:szCs w:val="28"/>
        </w:rPr>
      </w:pPr>
      <w:r w:rsidRPr="00D465D4">
        <w:rPr>
          <w:rFonts w:eastAsia="Times New Roman" w:cstheme="minorHAnsi"/>
          <w:i/>
          <w:szCs w:val="28"/>
        </w:rPr>
        <w:t xml:space="preserve">Correct independent variable. </w:t>
      </w:r>
    </w:p>
    <w:p w14:paraId="68FABAC2" w14:textId="77777777" w:rsidR="00A1065C" w:rsidRPr="00D465D4" w:rsidRDefault="00A1065C" w:rsidP="00A1065C">
      <w:pPr>
        <w:pStyle w:val="ListParagraph"/>
        <w:numPr>
          <w:ilvl w:val="1"/>
          <w:numId w:val="1"/>
        </w:numPr>
        <w:rPr>
          <w:rFonts w:eastAsia="Times New Roman" w:cstheme="minorHAnsi"/>
          <w:i/>
          <w:szCs w:val="28"/>
        </w:rPr>
      </w:pPr>
      <w:r w:rsidRPr="00D465D4">
        <w:rPr>
          <w:rStyle w:val="Emphasis"/>
          <w:rFonts w:cstheme="minorHAnsi"/>
          <w:szCs w:val="28"/>
          <w:shd w:val="clear" w:color="auto" w:fill="FFFFFF"/>
        </w:rPr>
        <w:t>measured, manipulated, or selected by the experimenter to determine its relationship to an outcome</w:t>
      </w:r>
    </w:p>
    <w:p w14:paraId="75DB874E" w14:textId="77777777" w:rsidR="00A1065C" w:rsidRPr="00D465D4" w:rsidRDefault="00A1065C" w:rsidP="00A1065C">
      <w:pPr>
        <w:pStyle w:val="ListParagraph"/>
        <w:numPr>
          <w:ilvl w:val="1"/>
          <w:numId w:val="1"/>
        </w:numPr>
        <w:rPr>
          <w:rStyle w:val="Strong"/>
          <w:rFonts w:eastAsia="Times New Roman" w:cstheme="minorHAnsi"/>
          <w:b w:val="0"/>
          <w:bCs w:val="0"/>
          <w:szCs w:val="28"/>
        </w:rPr>
      </w:pPr>
      <w:r w:rsidRPr="00D465D4">
        <w:rPr>
          <w:rStyle w:val="Strong"/>
          <w:rFonts w:cstheme="minorHAnsi"/>
          <w:szCs w:val="28"/>
          <w:shd w:val="clear" w:color="auto" w:fill="FFFFFF"/>
        </w:rPr>
        <w:t>Experimental, Manipulated, Treatment, Grouping Variable</w:t>
      </w:r>
    </w:p>
    <w:p w14:paraId="01E2AB95" w14:textId="77777777" w:rsidR="00A1065C" w:rsidRPr="00D465D4" w:rsidRDefault="00A1065C" w:rsidP="00A1065C">
      <w:pPr>
        <w:pStyle w:val="ListParagraph"/>
        <w:numPr>
          <w:ilvl w:val="0"/>
          <w:numId w:val="1"/>
        </w:numPr>
        <w:rPr>
          <w:rFonts w:eastAsia="Times New Roman" w:cstheme="minorHAnsi"/>
          <w:i/>
          <w:szCs w:val="28"/>
        </w:rPr>
      </w:pPr>
      <w:r w:rsidRPr="00D465D4">
        <w:rPr>
          <w:rFonts w:eastAsia="Times New Roman" w:cstheme="minorHAnsi"/>
          <w:i/>
          <w:szCs w:val="28"/>
        </w:rPr>
        <w:t>Correct dependent variable.</w:t>
      </w:r>
    </w:p>
    <w:p w14:paraId="6FDD2A80" w14:textId="77777777" w:rsidR="00A1065C" w:rsidRPr="00D465D4" w:rsidRDefault="00A1065C" w:rsidP="00A1065C">
      <w:pPr>
        <w:pStyle w:val="ListParagraph"/>
        <w:numPr>
          <w:ilvl w:val="1"/>
          <w:numId w:val="1"/>
        </w:numPr>
        <w:rPr>
          <w:rFonts w:eastAsia="Times New Roman" w:cstheme="minorHAnsi"/>
          <w:i/>
          <w:szCs w:val="28"/>
        </w:rPr>
      </w:pPr>
      <w:r w:rsidRPr="00D465D4">
        <w:rPr>
          <w:rStyle w:val="Emphasis"/>
          <w:rFonts w:cstheme="minorHAnsi"/>
          <w:szCs w:val="28"/>
          <w:shd w:val="clear" w:color="auto" w:fill="FFFFFF"/>
        </w:rPr>
        <w:t>observed and measured to determine the effect of the independent variable</w:t>
      </w:r>
    </w:p>
    <w:p w14:paraId="12B45343" w14:textId="77777777" w:rsidR="00A1065C" w:rsidRPr="00D465D4" w:rsidRDefault="00A1065C" w:rsidP="00A1065C">
      <w:pPr>
        <w:pStyle w:val="ListParagraph"/>
        <w:numPr>
          <w:ilvl w:val="0"/>
          <w:numId w:val="1"/>
        </w:numPr>
        <w:rPr>
          <w:rFonts w:eastAsia="Times New Roman" w:cstheme="minorHAnsi"/>
          <w:i/>
          <w:szCs w:val="28"/>
        </w:rPr>
      </w:pPr>
      <w:r w:rsidRPr="00D465D4">
        <w:rPr>
          <w:rFonts w:eastAsia="Times New Roman" w:cstheme="minorHAnsi"/>
          <w:i/>
          <w:szCs w:val="28"/>
        </w:rPr>
        <w:t>Correct control variables.</w:t>
      </w:r>
    </w:p>
    <w:p w14:paraId="2AEAE4F8" w14:textId="77777777" w:rsidR="00A1065C" w:rsidRPr="00D465D4" w:rsidRDefault="00A1065C" w:rsidP="00A1065C">
      <w:pPr>
        <w:pStyle w:val="ListParagraph"/>
        <w:numPr>
          <w:ilvl w:val="1"/>
          <w:numId w:val="1"/>
        </w:numPr>
        <w:rPr>
          <w:rFonts w:eastAsia="Times New Roman" w:cstheme="minorHAnsi"/>
          <w:szCs w:val="28"/>
        </w:rPr>
      </w:pPr>
      <w:r w:rsidRPr="00D465D4">
        <w:rPr>
          <w:rFonts w:eastAsia="Times New Roman" w:cstheme="minorHAnsi"/>
          <w:szCs w:val="28"/>
        </w:rPr>
        <w:t>the group that has no ‘treatment’ so you can use it to compare to the ‘treatment’ groups to observe a change</w:t>
      </w:r>
    </w:p>
    <w:p w14:paraId="105EB758" w14:textId="77777777" w:rsidR="00A1065C" w:rsidRPr="00D465D4" w:rsidRDefault="00A1065C" w:rsidP="00A1065C">
      <w:pPr>
        <w:pStyle w:val="ListParagraph"/>
        <w:numPr>
          <w:ilvl w:val="1"/>
          <w:numId w:val="1"/>
        </w:numPr>
        <w:rPr>
          <w:rFonts w:eastAsia="Times New Roman" w:cstheme="minorHAnsi"/>
          <w:szCs w:val="28"/>
        </w:rPr>
      </w:pPr>
      <w:r w:rsidRPr="00D465D4">
        <w:rPr>
          <w:rFonts w:eastAsia="Times New Roman" w:cstheme="minorHAnsi"/>
          <w:szCs w:val="28"/>
        </w:rPr>
        <w:t>not all projects have a control variable. If there is no control, state “no control”</w:t>
      </w:r>
    </w:p>
    <w:p w14:paraId="1CAC55C1" w14:textId="77777777" w:rsidR="00A1065C" w:rsidRPr="00D465D4" w:rsidRDefault="00A1065C" w:rsidP="00A1065C">
      <w:pPr>
        <w:pStyle w:val="ListParagraph"/>
        <w:numPr>
          <w:ilvl w:val="0"/>
          <w:numId w:val="1"/>
        </w:numPr>
        <w:rPr>
          <w:rFonts w:eastAsia="Times New Roman" w:cstheme="minorHAnsi"/>
          <w:i/>
          <w:szCs w:val="28"/>
        </w:rPr>
      </w:pPr>
      <w:r w:rsidRPr="00D465D4">
        <w:rPr>
          <w:rFonts w:eastAsia="Times New Roman" w:cstheme="minorHAnsi"/>
          <w:i/>
          <w:szCs w:val="28"/>
        </w:rPr>
        <w:t>Correct constant variables.</w:t>
      </w:r>
    </w:p>
    <w:p w14:paraId="1A629C17" w14:textId="77777777" w:rsidR="00A1065C" w:rsidRPr="00D465D4" w:rsidRDefault="00A1065C" w:rsidP="00A1065C">
      <w:pPr>
        <w:pStyle w:val="ListParagraph"/>
        <w:numPr>
          <w:ilvl w:val="1"/>
          <w:numId w:val="1"/>
        </w:numPr>
        <w:rPr>
          <w:rFonts w:eastAsia="Times New Roman" w:cstheme="minorHAnsi"/>
          <w:szCs w:val="28"/>
        </w:rPr>
      </w:pPr>
      <w:r w:rsidRPr="00D465D4">
        <w:rPr>
          <w:rFonts w:eastAsia="Times New Roman" w:cstheme="minorHAnsi"/>
          <w:szCs w:val="28"/>
        </w:rPr>
        <w:t>elements of the project that stay the same throughout the project – like water temperature, survey questions, etc.</w:t>
      </w:r>
    </w:p>
    <w:p w14:paraId="540AE310" w14:textId="77777777" w:rsidR="00A1065C" w:rsidRPr="00D465D4" w:rsidRDefault="00A1065C" w:rsidP="00A1065C">
      <w:pPr>
        <w:pStyle w:val="ListParagraph"/>
        <w:numPr>
          <w:ilvl w:val="1"/>
          <w:numId w:val="1"/>
        </w:numPr>
        <w:rPr>
          <w:rFonts w:eastAsia="Times New Roman" w:cstheme="minorHAnsi"/>
          <w:szCs w:val="28"/>
        </w:rPr>
      </w:pPr>
      <w:r w:rsidRPr="00D465D4">
        <w:rPr>
          <w:rFonts w:eastAsia="Times New Roman" w:cstheme="minorHAnsi"/>
          <w:szCs w:val="28"/>
        </w:rPr>
        <w:t>list at least 3 constants</w:t>
      </w:r>
    </w:p>
    <w:p w14:paraId="40B5CC4E" w14:textId="77777777" w:rsidR="00A1065C" w:rsidRPr="00D465D4" w:rsidRDefault="00A1065C" w:rsidP="00A1065C">
      <w:pPr>
        <w:pStyle w:val="ListParagraph"/>
        <w:numPr>
          <w:ilvl w:val="1"/>
          <w:numId w:val="1"/>
        </w:numPr>
        <w:rPr>
          <w:rFonts w:eastAsia="Times New Roman" w:cstheme="minorHAnsi"/>
          <w:szCs w:val="28"/>
        </w:rPr>
      </w:pPr>
      <w:r w:rsidRPr="00D465D4">
        <w:rPr>
          <w:rFonts w:eastAsia="Times New Roman" w:cstheme="minorHAnsi"/>
          <w:szCs w:val="28"/>
        </w:rPr>
        <w:t>all projects have constant variables</w:t>
      </w:r>
    </w:p>
    <w:p w14:paraId="196BB0F8" w14:textId="77777777" w:rsidR="00A1065C" w:rsidRPr="00D465D4" w:rsidRDefault="00A1065C" w:rsidP="00A1065C">
      <w:pPr>
        <w:rPr>
          <w:rFonts w:cstheme="minorHAnsi"/>
          <w:szCs w:val="28"/>
        </w:rPr>
      </w:pPr>
      <w:r w:rsidRPr="00D465D4">
        <w:rPr>
          <w:rFonts w:cstheme="minorHAnsi"/>
          <w:szCs w:val="28"/>
        </w:rPr>
        <w:t>Tips</w:t>
      </w:r>
    </w:p>
    <w:p w14:paraId="5370CB65" w14:textId="77777777" w:rsidR="00A1065C" w:rsidRPr="00D465D4" w:rsidRDefault="00A1065C" w:rsidP="00A1065C">
      <w:pPr>
        <w:pStyle w:val="ListParagraph"/>
        <w:numPr>
          <w:ilvl w:val="0"/>
          <w:numId w:val="3"/>
        </w:numPr>
        <w:rPr>
          <w:rFonts w:cstheme="minorHAnsi"/>
          <w:szCs w:val="28"/>
        </w:rPr>
      </w:pPr>
      <w:r w:rsidRPr="00D465D4">
        <w:rPr>
          <w:rFonts w:cstheme="minorHAnsi"/>
          <w:szCs w:val="28"/>
        </w:rPr>
        <w:t>IV is what you change/set, DV is what you measure</w:t>
      </w:r>
    </w:p>
    <w:p w14:paraId="2937CF77" w14:textId="77777777" w:rsidR="00A1065C" w:rsidRPr="00D465D4" w:rsidRDefault="00A1065C" w:rsidP="00A1065C">
      <w:pPr>
        <w:pStyle w:val="ListParagraph"/>
        <w:numPr>
          <w:ilvl w:val="0"/>
          <w:numId w:val="3"/>
        </w:numPr>
        <w:rPr>
          <w:rFonts w:cstheme="minorHAnsi"/>
          <w:szCs w:val="28"/>
        </w:rPr>
      </w:pPr>
      <w:r w:rsidRPr="00D465D4">
        <w:rPr>
          <w:rFonts w:cstheme="minorHAnsi"/>
          <w:szCs w:val="28"/>
        </w:rPr>
        <w:t xml:space="preserve">Control gets no ‘treatment’, constants stay the same throughout the experiment </w:t>
      </w:r>
    </w:p>
    <w:p w14:paraId="5D1EBFAD" w14:textId="77777777" w:rsidR="00A1065C" w:rsidRPr="00D465D4" w:rsidRDefault="00A1065C" w:rsidP="00A1065C">
      <w:pPr>
        <w:rPr>
          <w:rFonts w:cstheme="minorHAnsi"/>
          <w:szCs w:val="28"/>
        </w:rPr>
      </w:pPr>
      <w:r w:rsidRPr="00D465D4">
        <w:rPr>
          <w:rFonts w:cstheme="minorHAnsi"/>
          <w:szCs w:val="28"/>
        </w:rPr>
        <w:t>Examples</w:t>
      </w:r>
    </w:p>
    <w:p w14:paraId="7FAC3991" w14:textId="77777777" w:rsidR="00A1065C" w:rsidRPr="00D465D4" w:rsidRDefault="00A1065C" w:rsidP="00A1065C">
      <w:pPr>
        <w:pStyle w:val="ListParagraph"/>
        <w:numPr>
          <w:ilvl w:val="0"/>
          <w:numId w:val="2"/>
        </w:numPr>
        <w:rPr>
          <w:rStyle w:val="Strong"/>
          <w:rFonts w:cstheme="minorHAnsi"/>
          <w:b w:val="0"/>
          <w:bCs w:val="0"/>
          <w:szCs w:val="28"/>
        </w:rPr>
      </w:pPr>
      <w:r w:rsidRPr="00D465D4">
        <w:rPr>
          <w:rStyle w:val="Strong"/>
          <w:rFonts w:cstheme="minorHAnsi"/>
          <w:szCs w:val="28"/>
          <w:shd w:val="clear" w:color="auto" w:fill="FFFFFF"/>
        </w:rPr>
        <w:t>Among HSTA students in WV, does McDonalds or Burger King have a better tasting hamburger?</w:t>
      </w:r>
    </w:p>
    <w:p w14:paraId="0D297B32" w14:textId="77777777" w:rsidR="00A1065C" w:rsidRPr="00D465D4" w:rsidRDefault="00A1065C" w:rsidP="00A1065C">
      <w:pPr>
        <w:pStyle w:val="ListParagraph"/>
        <w:numPr>
          <w:ilvl w:val="1"/>
          <w:numId w:val="2"/>
        </w:numPr>
        <w:rPr>
          <w:rStyle w:val="Strong"/>
          <w:rFonts w:cstheme="minorHAnsi"/>
          <w:b w:val="0"/>
          <w:bCs w:val="0"/>
          <w:szCs w:val="28"/>
        </w:rPr>
      </w:pPr>
      <w:r w:rsidRPr="00D465D4">
        <w:rPr>
          <w:rStyle w:val="Strong"/>
          <w:rFonts w:cstheme="minorHAnsi"/>
          <w:szCs w:val="28"/>
          <w:shd w:val="clear" w:color="auto" w:fill="FFFFFF"/>
        </w:rPr>
        <w:t>IV – McDonalds and Burger King hamburgers</w:t>
      </w:r>
    </w:p>
    <w:p w14:paraId="0B67E909" w14:textId="77777777" w:rsidR="00A1065C" w:rsidRPr="00D465D4" w:rsidRDefault="00A1065C" w:rsidP="00A1065C">
      <w:pPr>
        <w:pStyle w:val="ListParagraph"/>
        <w:numPr>
          <w:ilvl w:val="1"/>
          <w:numId w:val="2"/>
        </w:numPr>
        <w:rPr>
          <w:rStyle w:val="Strong"/>
          <w:rFonts w:cstheme="minorHAnsi"/>
          <w:b w:val="0"/>
          <w:bCs w:val="0"/>
          <w:szCs w:val="28"/>
        </w:rPr>
      </w:pPr>
      <w:r w:rsidRPr="00D465D4">
        <w:rPr>
          <w:rStyle w:val="Strong"/>
          <w:rFonts w:cstheme="minorHAnsi"/>
          <w:szCs w:val="28"/>
          <w:shd w:val="clear" w:color="auto" w:fill="FFFFFF"/>
        </w:rPr>
        <w:t>DV – taste test results</w:t>
      </w:r>
    </w:p>
    <w:p w14:paraId="2C63B6C4" w14:textId="77777777" w:rsidR="00A1065C" w:rsidRPr="00D465D4" w:rsidRDefault="00A1065C" w:rsidP="00A1065C">
      <w:pPr>
        <w:pStyle w:val="ListParagraph"/>
        <w:numPr>
          <w:ilvl w:val="1"/>
          <w:numId w:val="2"/>
        </w:numPr>
        <w:rPr>
          <w:rStyle w:val="Strong"/>
          <w:rFonts w:cstheme="minorHAnsi"/>
          <w:b w:val="0"/>
          <w:bCs w:val="0"/>
          <w:szCs w:val="28"/>
        </w:rPr>
      </w:pPr>
      <w:r w:rsidRPr="00D465D4">
        <w:rPr>
          <w:rStyle w:val="Strong"/>
          <w:rFonts w:cstheme="minorHAnsi"/>
          <w:szCs w:val="28"/>
          <w:shd w:val="clear" w:color="auto" w:fill="FFFFFF"/>
        </w:rPr>
        <w:t>Control – None</w:t>
      </w:r>
    </w:p>
    <w:p w14:paraId="08675566" w14:textId="77777777" w:rsidR="00A1065C" w:rsidRPr="00D465D4" w:rsidRDefault="00A1065C" w:rsidP="00A1065C">
      <w:pPr>
        <w:pStyle w:val="ListParagraph"/>
        <w:numPr>
          <w:ilvl w:val="1"/>
          <w:numId w:val="2"/>
        </w:numPr>
        <w:rPr>
          <w:rStyle w:val="Strong"/>
          <w:rFonts w:cstheme="minorHAnsi"/>
          <w:b w:val="0"/>
          <w:bCs w:val="0"/>
          <w:szCs w:val="28"/>
        </w:rPr>
      </w:pPr>
      <w:r w:rsidRPr="00D465D4">
        <w:rPr>
          <w:rStyle w:val="Strong"/>
          <w:rFonts w:cstheme="minorHAnsi"/>
          <w:szCs w:val="28"/>
          <w:shd w:val="clear" w:color="auto" w:fill="FFFFFF"/>
        </w:rPr>
        <w:t>Constants – condiments on the hamburger, all HSTA students from WV, taste test scale</w:t>
      </w:r>
    </w:p>
    <w:p w14:paraId="7F43D582" w14:textId="77777777" w:rsidR="00A1065C" w:rsidRPr="00D465D4" w:rsidRDefault="00A1065C" w:rsidP="00A1065C">
      <w:pPr>
        <w:pStyle w:val="ListParagraph"/>
        <w:rPr>
          <w:rStyle w:val="apple-style-span"/>
          <w:rFonts w:cstheme="minorHAnsi"/>
          <w:szCs w:val="28"/>
        </w:rPr>
      </w:pPr>
    </w:p>
    <w:p w14:paraId="6862E9EA" w14:textId="77777777" w:rsidR="00A1065C" w:rsidRPr="00D465D4" w:rsidRDefault="00A1065C" w:rsidP="00A1065C">
      <w:pPr>
        <w:pStyle w:val="ListParagraph"/>
        <w:numPr>
          <w:ilvl w:val="0"/>
          <w:numId w:val="2"/>
        </w:numPr>
        <w:rPr>
          <w:rStyle w:val="apple-style-span"/>
          <w:rFonts w:cstheme="minorHAnsi"/>
          <w:szCs w:val="28"/>
        </w:rPr>
      </w:pPr>
      <w:r w:rsidRPr="00D465D4">
        <w:rPr>
          <w:rStyle w:val="apple-style-span"/>
          <w:rFonts w:cstheme="minorHAnsi"/>
          <w:szCs w:val="28"/>
          <w:shd w:val="clear" w:color="auto" w:fill="FFFFFF"/>
        </w:rPr>
        <w:t>Is there a link between hours of television viewing and obesity rates in children aged 8-14?</w:t>
      </w:r>
    </w:p>
    <w:p w14:paraId="35B4A26E" w14:textId="77777777" w:rsidR="00A1065C" w:rsidRPr="00D465D4" w:rsidRDefault="00A1065C" w:rsidP="00A1065C">
      <w:pPr>
        <w:pStyle w:val="ListParagraph"/>
        <w:numPr>
          <w:ilvl w:val="1"/>
          <w:numId w:val="2"/>
        </w:numPr>
        <w:rPr>
          <w:rStyle w:val="Strong"/>
          <w:rFonts w:cstheme="minorHAnsi"/>
          <w:b w:val="0"/>
          <w:bCs w:val="0"/>
          <w:szCs w:val="28"/>
        </w:rPr>
      </w:pPr>
      <w:r w:rsidRPr="00D465D4">
        <w:rPr>
          <w:rStyle w:val="Strong"/>
          <w:rFonts w:cstheme="minorHAnsi"/>
          <w:szCs w:val="28"/>
          <w:shd w:val="clear" w:color="auto" w:fill="FFFFFF"/>
        </w:rPr>
        <w:t>IV– number of hours watching TV</w:t>
      </w:r>
    </w:p>
    <w:p w14:paraId="6DC8296E" w14:textId="77777777" w:rsidR="00A1065C" w:rsidRPr="00D465D4" w:rsidRDefault="00A1065C" w:rsidP="00A1065C">
      <w:pPr>
        <w:pStyle w:val="ListParagraph"/>
        <w:numPr>
          <w:ilvl w:val="1"/>
          <w:numId w:val="2"/>
        </w:numPr>
        <w:rPr>
          <w:rStyle w:val="Strong"/>
          <w:rFonts w:cstheme="minorHAnsi"/>
          <w:b w:val="0"/>
          <w:bCs w:val="0"/>
          <w:szCs w:val="28"/>
        </w:rPr>
      </w:pPr>
      <w:r w:rsidRPr="00D465D4">
        <w:rPr>
          <w:rStyle w:val="Strong"/>
          <w:rFonts w:cstheme="minorHAnsi"/>
          <w:szCs w:val="28"/>
          <w:shd w:val="clear" w:color="auto" w:fill="FFFFFF"/>
        </w:rPr>
        <w:t>DV – obesity rate</w:t>
      </w:r>
    </w:p>
    <w:p w14:paraId="32EA4823" w14:textId="77777777" w:rsidR="00A1065C" w:rsidRPr="00D465D4" w:rsidRDefault="00A1065C" w:rsidP="00A1065C">
      <w:pPr>
        <w:pStyle w:val="ListParagraph"/>
        <w:numPr>
          <w:ilvl w:val="1"/>
          <w:numId w:val="2"/>
        </w:numPr>
        <w:rPr>
          <w:rStyle w:val="Strong"/>
          <w:rFonts w:cstheme="minorHAnsi"/>
          <w:b w:val="0"/>
          <w:bCs w:val="0"/>
          <w:szCs w:val="28"/>
        </w:rPr>
      </w:pPr>
      <w:r w:rsidRPr="00D465D4">
        <w:rPr>
          <w:rStyle w:val="Strong"/>
          <w:rFonts w:cstheme="minorHAnsi"/>
          <w:szCs w:val="28"/>
          <w:shd w:val="clear" w:color="auto" w:fill="FFFFFF"/>
        </w:rPr>
        <w:t>Control – None</w:t>
      </w:r>
    </w:p>
    <w:p w14:paraId="60DE4533" w14:textId="77777777" w:rsidR="00A1065C" w:rsidRPr="00D465D4" w:rsidRDefault="00A1065C" w:rsidP="00A1065C">
      <w:pPr>
        <w:pStyle w:val="ListParagraph"/>
        <w:numPr>
          <w:ilvl w:val="1"/>
          <w:numId w:val="2"/>
        </w:numPr>
        <w:rPr>
          <w:rStyle w:val="Strong"/>
          <w:rFonts w:cstheme="minorHAnsi"/>
          <w:b w:val="0"/>
          <w:bCs w:val="0"/>
          <w:szCs w:val="28"/>
        </w:rPr>
      </w:pPr>
      <w:r w:rsidRPr="00D465D4">
        <w:rPr>
          <w:rStyle w:val="Strong"/>
          <w:rFonts w:cstheme="minorHAnsi"/>
          <w:szCs w:val="28"/>
          <w:shd w:val="clear" w:color="auto" w:fill="FFFFFF"/>
        </w:rPr>
        <w:t>Constants – obesity scale, the age of children, how the number of TV hours are recorded</w:t>
      </w:r>
    </w:p>
    <w:p w14:paraId="4A11913D" w14:textId="77777777" w:rsidR="00A1065C" w:rsidRPr="00D465D4" w:rsidRDefault="00A1065C" w:rsidP="00A1065C">
      <w:pPr>
        <w:pStyle w:val="ListParagraph"/>
        <w:numPr>
          <w:ilvl w:val="0"/>
          <w:numId w:val="2"/>
        </w:numPr>
        <w:rPr>
          <w:rFonts w:cstheme="minorHAnsi"/>
          <w:szCs w:val="28"/>
        </w:rPr>
      </w:pPr>
      <w:r w:rsidRPr="00D465D4">
        <w:rPr>
          <w:rFonts w:cstheme="minorHAnsi"/>
          <w:szCs w:val="28"/>
        </w:rPr>
        <w:t xml:space="preserve">Do females age 16-18 score higher than males age 16-18 on the ACT during 2016? </w:t>
      </w:r>
    </w:p>
    <w:p w14:paraId="1EFDB797" w14:textId="77777777" w:rsidR="00A1065C" w:rsidRPr="00D465D4" w:rsidRDefault="00A1065C" w:rsidP="00A1065C">
      <w:pPr>
        <w:pStyle w:val="ListParagraph"/>
        <w:numPr>
          <w:ilvl w:val="1"/>
          <w:numId w:val="2"/>
        </w:numPr>
        <w:rPr>
          <w:rStyle w:val="Strong"/>
          <w:rFonts w:cstheme="minorHAnsi"/>
          <w:b w:val="0"/>
          <w:bCs w:val="0"/>
          <w:szCs w:val="28"/>
        </w:rPr>
      </w:pPr>
      <w:r w:rsidRPr="00D465D4">
        <w:rPr>
          <w:rStyle w:val="Strong"/>
          <w:rFonts w:cstheme="minorHAnsi"/>
          <w:szCs w:val="28"/>
          <w:shd w:val="clear" w:color="auto" w:fill="FFFFFF"/>
        </w:rPr>
        <w:t>IV – Gender</w:t>
      </w:r>
    </w:p>
    <w:p w14:paraId="0678DAF3" w14:textId="77777777" w:rsidR="00A1065C" w:rsidRPr="00D465D4" w:rsidRDefault="00A1065C" w:rsidP="00A1065C">
      <w:pPr>
        <w:pStyle w:val="ListParagraph"/>
        <w:numPr>
          <w:ilvl w:val="1"/>
          <w:numId w:val="2"/>
        </w:numPr>
        <w:rPr>
          <w:rStyle w:val="Strong"/>
          <w:rFonts w:cstheme="minorHAnsi"/>
          <w:b w:val="0"/>
          <w:bCs w:val="0"/>
          <w:szCs w:val="28"/>
        </w:rPr>
      </w:pPr>
      <w:r w:rsidRPr="00D465D4">
        <w:rPr>
          <w:rStyle w:val="Strong"/>
          <w:rFonts w:cstheme="minorHAnsi"/>
          <w:szCs w:val="28"/>
          <w:shd w:val="clear" w:color="auto" w:fill="FFFFFF"/>
        </w:rPr>
        <w:t>DV – ACT Score</w:t>
      </w:r>
    </w:p>
    <w:p w14:paraId="65744D81" w14:textId="77777777" w:rsidR="00A1065C" w:rsidRPr="00D465D4" w:rsidRDefault="00A1065C" w:rsidP="00A1065C">
      <w:pPr>
        <w:pStyle w:val="ListParagraph"/>
        <w:numPr>
          <w:ilvl w:val="1"/>
          <w:numId w:val="2"/>
        </w:numPr>
        <w:rPr>
          <w:rStyle w:val="Strong"/>
          <w:rFonts w:cstheme="minorHAnsi"/>
          <w:b w:val="0"/>
          <w:bCs w:val="0"/>
          <w:szCs w:val="28"/>
        </w:rPr>
      </w:pPr>
      <w:r w:rsidRPr="00D465D4">
        <w:rPr>
          <w:rStyle w:val="Strong"/>
          <w:rFonts w:cstheme="minorHAnsi"/>
          <w:szCs w:val="28"/>
          <w:shd w:val="clear" w:color="auto" w:fill="FFFFFF"/>
        </w:rPr>
        <w:t>Control – None</w:t>
      </w:r>
    </w:p>
    <w:p w14:paraId="39CE34AA" w14:textId="77777777" w:rsidR="00A1065C" w:rsidRPr="00D465D4" w:rsidRDefault="00A1065C" w:rsidP="00A1065C">
      <w:pPr>
        <w:pStyle w:val="ListParagraph"/>
        <w:numPr>
          <w:ilvl w:val="1"/>
          <w:numId w:val="2"/>
        </w:numPr>
        <w:rPr>
          <w:rStyle w:val="Strong"/>
          <w:rFonts w:cstheme="minorHAnsi"/>
          <w:b w:val="0"/>
          <w:bCs w:val="0"/>
          <w:szCs w:val="28"/>
        </w:rPr>
      </w:pPr>
      <w:r w:rsidRPr="00D465D4">
        <w:rPr>
          <w:rStyle w:val="Strong"/>
          <w:rFonts w:cstheme="minorHAnsi"/>
          <w:szCs w:val="28"/>
          <w:shd w:val="clear" w:color="auto" w:fill="FFFFFF"/>
        </w:rPr>
        <w:t xml:space="preserve">Constants – age, ACT test (may have not taken test on the same day but during the same year), same year </w:t>
      </w:r>
    </w:p>
    <w:p w14:paraId="36C73FB1" w14:textId="77777777" w:rsidR="00A1065C" w:rsidRPr="00D465D4" w:rsidRDefault="00A1065C" w:rsidP="00A1065C">
      <w:pPr>
        <w:pStyle w:val="ListParagraph"/>
        <w:numPr>
          <w:ilvl w:val="0"/>
          <w:numId w:val="2"/>
        </w:numPr>
        <w:rPr>
          <w:rFonts w:cstheme="minorHAnsi"/>
          <w:szCs w:val="28"/>
        </w:rPr>
      </w:pPr>
      <w:r w:rsidRPr="00D465D4">
        <w:rPr>
          <w:rFonts w:cstheme="minorHAnsi"/>
          <w:szCs w:val="28"/>
        </w:rPr>
        <w:t xml:space="preserve">Will plants have a higher growth rate with water supplements Sea Veg, </w:t>
      </w:r>
      <w:proofErr w:type="spellStart"/>
      <w:r w:rsidRPr="00D465D4">
        <w:rPr>
          <w:rFonts w:cstheme="minorHAnsi"/>
          <w:szCs w:val="28"/>
        </w:rPr>
        <w:t>Seachem</w:t>
      </w:r>
      <w:proofErr w:type="spellEnd"/>
      <w:r w:rsidRPr="00D465D4">
        <w:rPr>
          <w:rFonts w:cstheme="minorHAnsi"/>
          <w:szCs w:val="28"/>
        </w:rPr>
        <w:t>, or Natural Leaf after 6 weeks?</w:t>
      </w:r>
    </w:p>
    <w:p w14:paraId="14E32C4A" w14:textId="77777777" w:rsidR="00A1065C" w:rsidRPr="00D465D4" w:rsidRDefault="00A1065C" w:rsidP="00A1065C">
      <w:pPr>
        <w:pStyle w:val="ListParagraph"/>
        <w:numPr>
          <w:ilvl w:val="1"/>
          <w:numId w:val="2"/>
        </w:numPr>
        <w:rPr>
          <w:rStyle w:val="Strong"/>
          <w:rFonts w:cstheme="minorHAnsi"/>
          <w:b w:val="0"/>
          <w:bCs w:val="0"/>
          <w:szCs w:val="28"/>
        </w:rPr>
      </w:pPr>
      <w:r w:rsidRPr="00D465D4">
        <w:rPr>
          <w:rStyle w:val="Strong"/>
          <w:rFonts w:cstheme="minorHAnsi"/>
          <w:szCs w:val="28"/>
          <w:shd w:val="clear" w:color="auto" w:fill="FFFFFF"/>
        </w:rPr>
        <w:t xml:space="preserve">IV – water supplement treatment: </w:t>
      </w:r>
      <w:r w:rsidRPr="00D465D4">
        <w:rPr>
          <w:rFonts w:cstheme="minorHAnsi"/>
          <w:szCs w:val="28"/>
        </w:rPr>
        <w:t xml:space="preserve">Sea Veg, </w:t>
      </w:r>
      <w:proofErr w:type="spellStart"/>
      <w:r w:rsidRPr="00D465D4">
        <w:rPr>
          <w:rFonts w:cstheme="minorHAnsi"/>
          <w:szCs w:val="28"/>
        </w:rPr>
        <w:t>Seachem</w:t>
      </w:r>
      <w:proofErr w:type="spellEnd"/>
      <w:r w:rsidRPr="00D465D4">
        <w:rPr>
          <w:rFonts w:cstheme="minorHAnsi"/>
          <w:szCs w:val="28"/>
        </w:rPr>
        <w:t>, or Natural Leaf</w:t>
      </w:r>
    </w:p>
    <w:p w14:paraId="6A26D531" w14:textId="77777777" w:rsidR="00A1065C" w:rsidRPr="00D465D4" w:rsidRDefault="00A1065C" w:rsidP="00A1065C">
      <w:pPr>
        <w:pStyle w:val="ListParagraph"/>
        <w:numPr>
          <w:ilvl w:val="1"/>
          <w:numId w:val="2"/>
        </w:numPr>
        <w:rPr>
          <w:rStyle w:val="Strong"/>
          <w:rFonts w:cstheme="minorHAnsi"/>
          <w:b w:val="0"/>
          <w:bCs w:val="0"/>
          <w:szCs w:val="28"/>
        </w:rPr>
      </w:pPr>
      <w:r w:rsidRPr="00D465D4">
        <w:rPr>
          <w:rStyle w:val="Strong"/>
          <w:rFonts w:cstheme="minorHAnsi"/>
          <w:szCs w:val="28"/>
          <w:shd w:val="clear" w:color="auto" w:fill="FFFFFF"/>
        </w:rPr>
        <w:t>DV – growth rate</w:t>
      </w:r>
    </w:p>
    <w:p w14:paraId="6ECDAF7C" w14:textId="77777777" w:rsidR="00A1065C" w:rsidRPr="00D465D4" w:rsidRDefault="00A1065C" w:rsidP="00A1065C">
      <w:pPr>
        <w:pStyle w:val="ListParagraph"/>
        <w:numPr>
          <w:ilvl w:val="1"/>
          <w:numId w:val="2"/>
        </w:numPr>
        <w:rPr>
          <w:rStyle w:val="Strong"/>
          <w:rFonts w:cstheme="minorHAnsi"/>
          <w:b w:val="0"/>
          <w:bCs w:val="0"/>
          <w:szCs w:val="28"/>
        </w:rPr>
      </w:pPr>
      <w:r w:rsidRPr="00D465D4">
        <w:rPr>
          <w:rStyle w:val="Strong"/>
          <w:rFonts w:cstheme="minorHAnsi"/>
          <w:szCs w:val="28"/>
          <w:shd w:val="clear" w:color="auto" w:fill="FFFFFF"/>
        </w:rPr>
        <w:t>Control – plants with just water</w:t>
      </w:r>
    </w:p>
    <w:p w14:paraId="63D21D75" w14:textId="77777777" w:rsidR="00A1065C" w:rsidRPr="00D465D4" w:rsidRDefault="00A1065C" w:rsidP="00A1065C">
      <w:pPr>
        <w:pStyle w:val="ListParagraph"/>
        <w:numPr>
          <w:ilvl w:val="1"/>
          <w:numId w:val="2"/>
        </w:numPr>
        <w:rPr>
          <w:rStyle w:val="Strong"/>
          <w:rFonts w:cstheme="minorHAnsi"/>
          <w:b w:val="0"/>
          <w:bCs w:val="0"/>
          <w:szCs w:val="28"/>
        </w:rPr>
      </w:pPr>
      <w:r w:rsidRPr="00D465D4">
        <w:rPr>
          <w:rStyle w:val="Strong"/>
          <w:rFonts w:cstheme="minorHAnsi"/>
          <w:szCs w:val="28"/>
          <w:shd w:val="clear" w:color="auto" w:fill="FFFFFF"/>
        </w:rPr>
        <w:t>Constants – plant type, plant food, plant environment, ruler to measure height, number of plants in each treatment, time</w:t>
      </w:r>
    </w:p>
    <w:p w14:paraId="0B68DE0A" w14:textId="77777777" w:rsidR="002E7F1A" w:rsidRDefault="00A1065C"/>
    <w:sectPr w:rsidR="002E7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131B4"/>
    <w:multiLevelType w:val="hybridMultilevel"/>
    <w:tmpl w:val="1E4EF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B45DA"/>
    <w:multiLevelType w:val="hybridMultilevel"/>
    <w:tmpl w:val="181E9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04775"/>
    <w:multiLevelType w:val="hybridMultilevel"/>
    <w:tmpl w:val="21AA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5C"/>
    <w:rsid w:val="000164A2"/>
    <w:rsid w:val="00817617"/>
    <w:rsid w:val="00A1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03C65"/>
  <w15:chartTrackingRefBased/>
  <w15:docId w15:val="{E06B9BAF-B882-4044-AFBA-B44DCED1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65C"/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06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065C"/>
    <w:rPr>
      <w:rFonts w:asciiTheme="majorHAnsi" w:eastAsiaTheme="majorEastAsia" w:hAnsiTheme="majorHAnsi" w:cstheme="majorBidi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A1065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1065C"/>
  </w:style>
  <w:style w:type="character" w:styleId="Strong">
    <w:name w:val="Strong"/>
    <w:basedOn w:val="DefaultParagraphFont"/>
    <w:uiPriority w:val="22"/>
    <w:qFormat/>
    <w:rsid w:val="00A1065C"/>
    <w:rPr>
      <w:b/>
      <w:bCs/>
    </w:rPr>
  </w:style>
  <w:style w:type="character" w:styleId="Emphasis">
    <w:name w:val="Emphasis"/>
    <w:basedOn w:val="DefaultParagraphFont"/>
    <w:uiPriority w:val="20"/>
    <w:qFormat/>
    <w:rsid w:val="00A106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Kuhn, Summer</dc:creator>
  <cp:keywords/>
  <dc:description/>
  <cp:lastModifiedBy>Kuhn, Summer</cp:lastModifiedBy>
  <cp:revision>1</cp:revision>
  <dcterms:created xsi:type="dcterms:W3CDTF">2021-08-21T20:30:00Z</dcterms:created>
  <dcterms:modified xsi:type="dcterms:W3CDTF">2021-08-21T20:30:00Z</dcterms:modified>
</cp:coreProperties>
</file>